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名特优商品评价认定管理办法</w:t>
      </w:r>
      <w:r>
        <w:rPr>
          <w:rFonts w:hint="eastAsia" w:ascii="黑体" w:hAnsi="黑体" w:eastAsia="黑体" w:cs="黑体"/>
          <w:b/>
          <w:bCs/>
          <w:sz w:val="30"/>
          <w:szCs w:val="30"/>
          <w:lang w:val="en-US" w:eastAsia="zh-CN"/>
        </w:rPr>
        <w:t>(暂行)</w:t>
      </w:r>
    </w:p>
    <w:p>
      <w:pPr>
        <w:jc w:val="center"/>
        <w:rPr>
          <w:rFonts w:hint="eastAsia" w:ascii="宋体" w:hAnsi="宋体"/>
          <w:b/>
          <w:bCs/>
          <w:color w:val="0C0C0C"/>
          <w:sz w:val="32"/>
          <w:szCs w:val="32"/>
          <w:shd w:val="clear" w:color="auto" w:fill="FCFCFC"/>
          <w:lang w:val="en-US" w:eastAsia="zh-CN"/>
        </w:rPr>
      </w:pPr>
      <w:r>
        <w:rPr>
          <w:rFonts w:hint="eastAsia" w:ascii="宋体" w:hAnsi="宋体"/>
          <w:b/>
          <w:bCs/>
          <w:color w:val="0C0C0C"/>
          <w:sz w:val="32"/>
          <w:szCs w:val="32"/>
          <w:shd w:val="clear" w:color="auto" w:fill="FCFCFC"/>
          <w:lang w:val="en-US" w:eastAsia="zh-CN"/>
        </w:rPr>
        <w:t>第一章  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/>
          <w:b/>
          <w:bCs/>
          <w:sz w:val="21"/>
          <w:szCs w:val="21"/>
          <w:lang w:val="en-US" w:eastAsia="zh-CN"/>
        </w:rPr>
        <w:t xml:space="preserve">第一条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>为加强对“名特优商品”评价认定事项的管理，保证名特优商品评价认定工作对使用者、消费者的公共利益，维护名特优商品公平合理、有序竞争的市场环境，根据国家质检总局、国家标准委《关于培育和发展团体标准的指导意见</w:t>
      </w:r>
      <w:r>
        <w:rPr>
          <w:rFonts w:hint="eastAsia" w:ascii="仿宋" w:hAnsi="仿宋" w:eastAsia="仿宋" w:cs="仿宋"/>
          <w:sz w:val="21"/>
          <w:szCs w:val="21"/>
        </w:rPr>
        <w:t>》</w:t>
      </w:r>
      <w:r>
        <w:rPr>
          <w:rFonts w:hint="eastAsia" w:ascii="宋体" w:hAnsi="宋体"/>
          <w:color w:val="0C0C0C"/>
          <w:sz w:val="21"/>
          <w:szCs w:val="21"/>
          <w:shd w:val="clear" w:color="auto" w:fill="FCFCFC"/>
          <w:lang w:val="en-US" w:eastAsia="zh-CN"/>
        </w:rPr>
        <w:t>等相关规定制定本办法。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color w:val="0C0C0C"/>
          <w:sz w:val="21"/>
          <w:szCs w:val="21"/>
          <w:shd w:val="clear" w:color="auto" w:fill="FCFCFC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第二条  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凡在中华人民共和国境内参加了“名特优商品”评价认定的产品，从事生产、贸易、销售活动的，适用本办法。</w:t>
      </w:r>
    </w:p>
    <w:p>
      <w:pP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</w:p>
    <w:p>
      <w:pPr>
        <w:jc w:val="center"/>
        <w:rPr>
          <w:rFonts w:hint="eastAsia" w:ascii="宋体" w:hAnsi="宋体"/>
          <w:b w:val="0"/>
          <w:bCs w:val="0"/>
          <w:color w:val="0C0C0C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hd w:val="clear" w:color="auto" w:fill="FCFCFC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C0C0C"/>
          <w:sz w:val="32"/>
          <w:szCs w:val="32"/>
          <w:shd w:val="clear" w:color="auto" w:fill="FCFCFC"/>
          <w:lang w:val="en-US" w:eastAsia="zh-CN"/>
        </w:rPr>
        <w:t>第二章  名特优商品评价认定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>第三条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　中国贸促会商业行业分会名特优产业发展中心(以下称管理中心)负责全国名特优商品评价认定、标识应用的组织和管理工作。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/>
          <w:bCs/>
          <w:sz w:val="21"/>
          <w:szCs w:val="21"/>
          <w:lang w:val="en-US" w:eastAsia="zh-CN"/>
        </w:rPr>
        <w:t xml:space="preserve">第四条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“名特优商品”评价认定流程：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1. 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1) 申请人登陆中商企名优特（北京）认证中心（以下简称中心）官网www.cfhqs.Org.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cn ，下载填写《全国名特优商品认定申报通知》、《名特优商品认定申请表》。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2) 申请人向中心提交《名特优商品认定申请表》，中心经初审在7个工作日内发放《名特优商品评价认定受理通知函》（通知是否受理）。申请人根据受理通知函内容，提交《名特优商品评价认定自评价表》、《名特优商品评价认定单位承诺书》并按《参与评价认定企业提供资料清单》的要求提供其他相关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 xml:space="preserve">    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2. 审核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1) 中心对申报材料进行评审，审核通过后，签订《名特优认定合同》（简称：认定合同），缴纳认定费用，并提交产品近期（不超过1年）检测报告。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2）中心根据《名特优商品评价规范》（T/CCPITCSC 001-2016），组织专家对申报商品进行审核，并将审核结果进行</w:t>
      </w:r>
      <w:r>
        <w:rPr>
          <w:rFonts w:hint="eastAsia" w:ascii="宋体" w:hAnsi="宋体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为期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15</w:t>
      </w:r>
      <w:r>
        <w:rPr>
          <w:rFonts w:hint="eastAsia" w:ascii="宋体" w:hAnsi="宋体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天的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官网公示</w:t>
      </w:r>
      <w:r>
        <w:rPr>
          <w:rFonts w:hint="eastAsia" w:ascii="宋体" w:hAnsi="宋体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，无异议后视为审核通过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3)审核通过后</w:t>
      </w:r>
      <w:r>
        <w:rPr>
          <w:rFonts w:hint="eastAsia" w:ascii="宋体" w:hAnsi="宋体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颁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发《名特优商品认定》证书，签订《名特优商品防伪追溯标志使用许可合同》，办理使用手续。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 xml:space="preserve">4)审核不合格，认证费用全部返还，并附详细认证报告。企业可根据审核报告进行整改，符合要求后可再次提请审核，补缴费用。如不再复审，则无需交费。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5)30个工作日之内完成全部审核过程。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 xml:space="preserve">   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 xml:space="preserve"> 3．复检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1）名特优商品认定证书有效期为3年，在有效期满前3个月，中心向企业发出《名特优商品复检通知书》。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2）企业在收到《名特优商品复检通知书》后，应按照《名特优商品评价认定合同》要求，提交复检材料及费用到中心进行复检。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3）复检通过后继续享有《名特优商品认定》证书及防伪追溯标识使用权。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4）复检未通过取消“名特优商品”称号，冻结所有使用权限，责令企业限期</w:t>
      </w:r>
      <w:r>
        <w:rPr>
          <w:rFonts w:hint="eastAsia" w:ascii="宋体" w:hAnsi="宋体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30个工作日之内进行</w:t>
      </w:r>
      <w:r>
        <w:rPr>
          <w:rFonts w:hint="eastAsia" w:ascii="宋体" w:hAnsi="宋体" w:eastAsiaTheme="minorEastAsia" w:cstheme="minorBidi"/>
          <w:b w:val="0"/>
          <w:bCs w:val="0"/>
          <w:color w:val="0C0C0C"/>
          <w:kern w:val="2"/>
          <w:sz w:val="21"/>
          <w:szCs w:val="21"/>
          <w:shd w:val="clear" w:color="auto" w:fill="FCFCFC"/>
          <w:lang w:val="en-US" w:eastAsia="zh-CN" w:bidi="ar-SA"/>
        </w:rPr>
        <w:t>整改，通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过复检后恢复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相应权限</w:t>
      </w:r>
      <w:r>
        <w:rPr>
          <w:rFonts w:hint="eastAsia" w:asciiTheme="minorEastAsia" w:hAnsiTheme="minorEastAsia" w:eastAsia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。</w:t>
      </w:r>
      <w:r>
        <w:rPr>
          <w:rFonts w:hint="eastAsia" w:asciiTheme="minorEastAsia" w:hAnsiTheme="minorEastAsia" w:cstheme="minorEastAsia"/>
          <w:b w:val="0"/>
          <w:bCs w:val="0"/>
          <w:kern w:val="2"/>
          <w:sz w:val="21"/>
          <w:szCs w:val="21"/>
          <w:lang w:val="en-US" w:eastAsia="zh-CN" w:bidi="ar-SA"/>
        </w:rPr>
        <w:t>整改工作最多不超过两次。如还不能通过复检，永久不再受理。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 </w:t>
      </w: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>第五条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　名特优商品标识的应用：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b w:val="0"/>
          <w:bCs w:val="0"/>
          <w:color w:val="0C0C0C"/>
          <w:sz w:val="22"/>
          <w:szCs w:val="22"/>
          <w:shd w:val="clear" w:color="auto" w:fill="FCFCFC"/>
          <w:lang w:val="en-US" w:eastAsia="zh-CN"/>
        </w:rPr>
        <w:t xml:space="preserve">   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将名特优商品标识应用在产品外包装上；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2.</w:t>
      </w: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应用在企业产品宣传推广的媒介上；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3.</w:t>
      </w: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 xml:space="preserve"> 其他合法的传播途径上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4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.</w:t>
      </w: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 xml:space="preserve"> 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未经评价认定和授权的企业不得使用名特优商品标识。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>第六条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　现场审核与检查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 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1.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管理中心聘请专家组成专家委员会，并由专家委员会实施对名特优商品的调查和认定。根据专家委员会的建议，管理中心可以委托国家认可的质量检验机构，实施有产品的技术检测。专家委员会对管理中心负责。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 2. 管理中心将根据不同商品的特点、属性作出决定，部分商品需要专家进行现场审核；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421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3. 为保证名特优商品的稳定性和一致性，管理中心将不定期组织专家进行复检或抽检；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 4. 参与名特优商品评价认定的企业，必须配合管理中心的专家现场审核、复检及抽检，提供的资料、文件和数据必须客观、真实、完整。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</w:t>
      </w:r>
    </w:p>
    <w:p>
      <w:pPr>
        <w:jc w:val="center"/>
        <w:rPr>
          <w:rFonts w:hint="eastAsia" w:ascii="宋体" w:hAnsi="宋体"/>
          <w:b/>
          <w:bCs/>
          <w:color w:val="0C0C0C"/>
          <w:sz w:val="32"/>
          <w:szCs w:val="32"/>
          <w:shd w:val="clear" w:color="auto" w:fill="FCFCFC"/>
          <w:lang w:val="en-US" w:eastAsia="zh-CN"/>
        </w:rPr>
      </w:pPr>
      <w:r>
        <w:rPr>
          <w:rFonts w:hint="eastAsia" w:ascii="宋体" w:hAnsi="宋体"/>
          <w:b/>
          <w:bCs/>
          <w:color w:val="0C0C0C"/>
          <w:sz w:val="32"/>
          <w:szCs w:val="32"/>
          <w:shd w:val="clear" w:color="auto" w:fill="FCFCFC"/>
          <w:lang w:val="en-US" w:eastAsia="zh-CN"/>
        </w:rPr>
        <w:t>第三章  名特优商品使用者的义务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</w:pP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  第七条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　企业经营名特优商品，应按照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《名特优产品评价规范》</w:t>
      </w: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>团体标准</w:t>
      </w:r>
      <w:r>
        <w:rPr>
          <w:rFonts w:hint="eastAsia" w:asciiTheme="minorHAnsi" w:hAnsiTheme="minorHAnsi" w:eastAsiaTheme="minorEastAsia" w:cstheme="minorBidi"/>
          <w:b w:val="0"/>
          <w:bCs w:val="0"/>
          <w:kern w:val="2"/>
          <w:sz w:val="21"/>
          <w:szCs w:val="21"/>
          <w:lang w:val="en-US" w:eastAsia="zh-CN" w:bidi="ar-SA"/>
        </w:rPr>
        <w:t>（编号T/CCPITCSC 001-2016）</w:t>
      </w: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>，规范管理。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cstheme="minorBidi"/>
          <w:b w:val="0"/>
          <w:bCs w:val="0"/>
          <w:kern w:val="2"/>
          <w:sz w:val="21"/>
          <w:szCs w:val="21"/>
          <w:lang w:val="en-US" w:eastAsia="zh-CN" w:bidi="ar-SA"/>
        </w:rPr>
        <w:t xml:space="preserve">   </w:t>
      </w: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第八条  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不得有损毁、侮辱“名特优商品”称号的行为发生。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第九条  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获得名特优商品评价认定的企业，必须严把质量关，不得有偷工减料、以次充好的行为发生。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</w:t>
      </w: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第十条  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获得名特优商品评价认定的企业，不得故意制假售假、隐瞒管理中心监督。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</w:t>
      </w:r>
      <w:r>
        <w:rPr>
          <w:rFonts w:hint="eastAsia" w:ascii="宋体" w:hAnsi="宋体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第十一条  </w:t>
      </w: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严格遵守本办法。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</w:p>
    <w:p>
      <w:pPr>
        <w:jc w:val="center"/>
        <w:rPr>
          <w:rFonts w:hint="eastAsia" w:ascii="宋体" w:hAnsi="宋体"/>
          <w:b/>
          <w:bCs/>
          <w:color w:val="0C0C0C"/>
          <w:sz w:val="32"/>
          <w:szCs w:val="32"/>
          <w:shd w:val="clear" w:color="auto" w:fill="FCFCFC"/>
          <w:lang w:val="en-US" w:eastAsia="zh-CN"/>
        </w:rPr>
      </w:pPr>
      <w:r>
        <w:rPr>
          <w:rFonts w:hint="eastAsia" w:ascii="宋体" w:hAnsi="宋体"/>
          <w:b/>
          <w:bCs/>
          <w:color w:val="0C0C0C"/>
          <w:sz w:val="32"/>
          <w:szCs w:val="32"/>
          <w:shd w:val="clear" w:color="auto" w:fill="FCFCFC"/>
          <w:lang w:val="en-US" w:eastAsia="zh-CN"/>
        </w:rPr>
        <w:t>第四章 罚则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="宋体" w:hAnsi="宋体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>第十二条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　未经评价认定和授权擅自使用中国“名特优商品”称号的使用者，违反本办法第五条第4款的规定，予以追究知识产权侵权行为；造成严重后果的依法追究责任。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  第十三条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违反本办法第八条规定</w:t>
      </w:r>
      <w:r>
        <w:rPr>
          <w:rFonts w:hint="eastAsia" w:asciiTheme="minorEastAsia" w:hAnsi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中国“名特优商品”称号的使用者，管理中心酌情予以警告、责令整改，情节严重的处以1，000元以上5，000元以下罚款。  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  第十四条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　违反本办法第九条规定</w:t>
      </w:r>
      <w:r>
        <w:rPr>
          <w:rFonts w:hint="eastAsia" w:asciiTheme="minorEastAsia" w:hAnsi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中国“名特优商品”称号的使用者，由管理中心处以10,000元以上30，000元以下罚款，或处以已销售产品的100倍罚款，就高不就低。取消“中国名特优商品”称号。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>第十五条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　违反本办法第十条规定的中国“名特优商品”称号的使用者，取消中国“名特优商品”称号，并由管理中心处以30,000元以上100,000元以下罚款，或处以已销售产品的100倍罚款，就高不就低。造成损害的，承担赔偿责任；构成犯罪的，依法追究刑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  第十六条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本办法由中国贸促会商业行业分会名特优产业发展中心负责解释。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C0C0C"/>
          <w:sz w:val="21"/>
          <w:szCs w:val="21"/>
          <w:shd w:val="clear" w:color="auto" w:fill="FCFCFC"/>
          <w:lang w:val="en-US" w:eastAsia="zh-CN"/>
        </w:rPr>
        <w:t xml:space="preserve">   第十七条  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0C0C0C"/>
          <w:sz w:val="21"/>
          <w:szCs w:val="21"/>
          <w:shd w:val="clear" w:color="auto" w:fill="FCFCFC"/>
          <w:lang w:val="en-US" w:eastAsia="zh-CN"/>
        </w:rPr>
        <w:t>本办法自发布之日起实施。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226" w:afterAutospacing="0"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</w:t>
      </w:r>
      <w:bookmarkStart w:id="0" w:name="_GoBack"/>
      <w:bookmarkEnd w:id="0"/>
      <w:r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226" w:afterAutospacing="0"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  <w:r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中国贸促会商业分会名特优产业发展中心                                                                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226" w:afterAutospacing="0" w:line="28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中商企名优特（北京）认证中心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6" w:beforeAutospacing="0" w:after="226" w:afterAutospacing="0" w:line="280" w:lineRule="exact"/>
        <w:ind w:left="0" w:leftChars="0" w:right="0" w:rightChars="0" w:firstLine="0" w:firstLineChars="0"/>
        <w:jc w:val="left"/>
        <w:textAlignment w:val="auto"/>
        <w:outlineLvl w:val="9"/>
        <w:rPr>
          <w:sz w:val="22"/>
          <w:szCs w:val="22"/>
        </w:rPr>
      </w:pPr>
      <w:r>
        <w:rPr>
          <w:rFonts w:hint="eastAsia" w:ascii="Arial" w:hAnsi="Arial" w:cs="Arial"/>
          <w:b/>
          <w:bCs/>
          <w:i w:val="0"/>
          <w:caps w:val="0"/>
          <w:color w:val="000000" w:themeColor="text1"/>
          <w:spacing w:val="0"/>
          <w:sz w:val="22"/>
          <w:szCs w:val="22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                        2016年12月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59690</wp:posOffset>
              </wp:positionV>
              <wp:extent cx="5314950" cy="28575"/>
              <wp:effectExtent l="0" t="4445" r="0" b="508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1160780" y="9881235"/>
                        <a:ext cx="5314950" cy="28575"/>
                      </a:xfrm>
                      <a:prstGeom prst="line">
                        <a:avLst/>
                      </a:prstGeom>
                      <a:ln>
                        <a:solidFill>
                          <a:srgbClr val="106836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1.4pt;margin-top:4.7pt;height:2.25pt;width:418.5pt;z-index:251671552;mso-width-relative:page;mso-height-relative:page;" filled="f" stroked="t" coordsize="21600,21600" o:gfxdata="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wZCTRNUAAAAG&#10;AQAADwAAAAAAAAABACAAAAAiAAAAZHJzL2Rvd25yZXYueG1sUEsBAhQAFAAAAAgAh07iQGMQYBfm&#10;AQAAfQMAAA4AAAAAAAAAAQAgAAAAJAEAAGRycy9lMm9Eb2MueG1sUEsFBgAAAAAGAAYAWQEAAHwF&#10;AAAAAA==&#10;">
              <v:fill on="f" focussize="0,0"/>
              <v:stroke weight="0.5pt" color="#106836 [3200]" miterlimit="8" joinstyle="miter"/>
              <v:imagedata o:title=""/>
              <o:lock v:ext="edit" aspectratio="f"/>
            </v:line>
          </w:pict>
        </mc:Fallback>
      </mc:AlternateContent>
    </w:r>
  </w:p>
  <w:p>
    <w:pPr>
      <w:pStyle w:val="2"/>
      <w:rPr>
        <w:rFonts w:hint="eastAsia"/>
        <w:lang w:val="en-US" w:eastAsia="zh-CN"/>
      </w:rPr>
    </w:pPr>
    <w:r>
      <w:rPr>
        <w:rFonts w:hint="eastAsia"/>
        <w:b/>
        <w:bCs/>
        <w:color w:val="106836"/>
      </w:rPr>
      <w:t>地址：</w:t>
    </w:r>
    <w:r>
      <w:rPr>
        <w:rFonts w:hint="eastAsia"/>
        <w:b/>
        <w:bCs/>
        <w:color w:val="106836"/>
        <w:lang w:val="en-US" w:eastAsia="zh-CN"/>
      </w:rPr>
      <w:t xml:space="preserve">北京市东城区广渠门北里乙73号2号楼303    电话：010-53617889    </w:t>
    </w:r>
    <w:r>
      <w:rPr>
        <w:b/>
        <w:bCs/>
        <w:color w:val="106836"/>
      </w:rPr>
      <w:t xml:space="preserve">   </w:t>
    </w:r>
    <w:r>
      <w:rPr>
        <w:rFonts w:hint="eastAsia"/>
        <w:b/>
        <w:bCs/>
        <w:color w:val="106836"/>
        <w:lang w:val="en-US" w:eastAsia="zh-CN"/>
      </w:rPr>
      <w:t xml:space="preserve"> E-ail：</w:t>
    </w:r>
    <w:r>
      <w:rPr>
        <w:rFonts w:hint="eastAsia"/>
        <w:b/>
        <w:bCs/>
        <w:color w:val="106836"/>
        <w:lang w:val="en-US" w:eastAsia="zh-CN"/>
      </w:rPr>
      <w:fldChar w:fldCharType="begin"/>
    </w:r>
    <w:r>
      <w:rPr>
        <w:rFonts w:hint="eastAsia"/>
        <w:b/>
        <w:bCs/>
        <w:color w:val="106836"/>
        <w:lang w:val="en-US" w:eastAsia="zh-CN"/>
      </w:rPr>
      <w:instrText xml:space="preserve"> HYPERLINK "mailto:zsqmyt@126.com" </w:instrText>
    </w:r>
    <w:r>
      <w:rPr>
        <w:rFonts w:hint="eastAsia"/>
        <w:b/>
        <w:bCs/>
        <w:color w:val="106836"/>
        <w:lang w:val="en-US" w:eastAsia="zh-CN"/>
      </w:rPr>
      <w:fldChar w:fldCharType="separate"/>
    </w:r>
    <w:r>
      <w:rPr>
        <w:rStyle w:val="6"/>
        <w:rFonts w:hint="eastAsia"/>
        <w:b/>
        <w:bCs/>
        <w:color w:val="106836"/>
        <w:lang w:val="en-US" w:eastAsia="zh-CN"/>
      </w:rPr>
      <w:t>zsqmyt@126.com</w:t>
    </w:r>
    <w:r>
      <w:rPr>
        <w:rFonts w:hint="eastAsia"/>
        <w:b/>
        <w:bCs/>
        <w:color w:val="106836"/>
        <w:lang w:val="en-US" w:eastAsia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b/>
        <w:bCs/>
        <w:color w:val="106836"/>
      </w:rPr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570865</wp:posOffset>
              </wp:positionV>
              <wp:extent cx="5419725" cy="18415"/>
              <wp:effectExtent l="0" t="28575" r="9525" b="29210"/>
              <wp:wrapNone/>
              <wp:docPr id="2" name="Lin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19725" cy="18415"/>
                      </a:xfrm>
                      <a:prstGeom prst="line">
                        <a:avLst/>
                      </a:prstGeom>
                      <a:ln w="57150" cap="flat" cmpd="thickThin">
                        <a:solidFill>
                          <a:srgbClr val="106836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line id="Line 2" o:spid="_x0000_s1026" o:spt="20" style="position:absolute;left:0pt;margin-left:-1.2pt;margin-top:44.95pt;height:1.45pt;width:426.75pt;z-index:251662336;mso-width-relative:page;mso-height-relative:page;" filled="f" stroked="t" coordsize="21600,21600" o:gfxdata="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AkEc2E2QAAAAgBAAAPAAAAAAAAAAEAIAAAACIAAABk&#10;cnMvZG93bnJldi54bWxQSwECFAAUAAAACACHTuJAwymR/swBAACWAwAADgAAAAAAAAABACAAAAAo&#10;AQAAZHJzL2Uyb0RvYy54bWxQSwUGAAAAAAYABgBZAQAAZgUAAAAA&#10;">
              <v:fill on="f" focussize="0,0"/>
              <v:stroke weight="4.5pt" color="#106836" linestyle="thickThin" joinstyle="round"/>
              <v:imagedata o:title=""/>
              <o:lock v:ext="edit" aspectratio="f"/>
            </v:line>
          </w:pict>
        </mc:Fallback>
      </mc:AlternateContent>
    </w:r>
    <w:r>
      <w:rPr>
        <w:rFonts w:hint="eastAsia"/>
        <w:lang w:val="en-US" w:eastAsia="zh-CN"/>
      </w:rPr>
      <w:drawing>
        <wp:inline distT="0" distB="0" distL="114300" distR="114300">
          <wp:extent cx="2872740" cy="512445"/>
          <wp:effectExtent l="0" t="0" r="3810" b="1905"/>
          <wp:docPr id="1" name="图片 1" descr="1483515040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1483515040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2740" cy="512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</w:t>
    </w:r>
    <w:r>
      <w:rPr>
        <w:rFonts w:hint="eastAsia"/>
        <w:b/>
        <w:bCs/>
        <w:color w:val="106836"/>
        <w:lang w:val="en-US" w:eastAsia="zh-CN"/>
      </w:rPr>
      <w:fldChar w:fldCharType="begin"/>
    </w:r>
    <w:r>
      <w:rPr>
        <w:rFonts w:hint="eastAsia"/>
        <w:b/>
        <w:bCs/>
        <w:color w:val="106836"/>
        <w:lang w:val="en-US" w:eastAsia="zh-CN"/>
      </w:rPr>
      <w:instrText xml:space="preserve"> HYPERLINK "http://www.cfhqs.org.cn" </w:instrText>
    </w:r>
    <w:r>
      <w:rPr>
        <w:rFonts w:hint="eastAsia"/>
        <w:b/>
        <w:bCs/>
        <w:color w:val="106836"/>
        <w:lang w:val="en-US" w:eastAsia="zh-CN"/>
      </w:rPr>
      <w:fldChar w:fldCharType="separate"/>
    </w:r>
    <w:r>
      <w:rPr>
        <w:rStyle w:val="6"/>
        <w:rFonts w:hint="eastAsia"/>
        <w:b/>
        <w:bCs/>
        <w:color w:val="106836"/>
        <w:lang w:val="en-US" w:eastAsia="zh-CN"/>
      </w:rPr>
      <w:t>http://www.cfhqs.org.cn</w:t>
    </w:r>
    <w:r>
      <w:rPr>
        <w:rFonts w:hint="eastAsia"/>
        <w:b/>
        <w:bCs/>
        <w:color w:val="106836"/>
        <w:lang w:val="en-US" w:eastAsia="zh-CN"/>
      </w:rPr>
      <w:fldChar w:fldCharType="end"/>
    </w:r>
  </w:p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971F3E"/>
    <w:rsid w:val="13C63179"/>
    <w:rsid w:val="21681304"/>
    <w:rsid w:val="242C20C4"/>
    <w:rsid w:val="27971F3E"/>
    <w:rsid w:val="572B7666"/>
    <w:rsid w:val="5A7B5064"/>
    <w:rsid w:val="677E29C7"/>
    <w:rsid w:val="743B074A"/>
    <w:rsid w:val="746D5F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2016-12-12T05:18:00Z</dcterms:created>
  <dc:creator>admin</dc:creator>
  <cp:lastModifiedBy>陈超</cp:lastModifiedBy>
  <dcterms:modified xsi:type="dcterms:W3CDTF">2019-03-04T02:42:05Z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